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4E" w:rsidRPr="0017144E" w:rsidRDefault="0017144E" w:rsidP="0017144E">
      <w:r w:rsidRPr="0017144E">
        <w:t>L'accusatif</w:t>
      </w:r>
    </w:p>
    <w:p w:rsidR="0017144E" w:rsidRPr="0017144E" w:rsidRDefault="0017144E" w:rsidP="0017144E">
      <w:r w:rsidRPr="0017144E">
        <w:pict>
          <v:rect id="_x0000_i1025" style="width:0;height:1.5pt" o:hralign="left" o:hrstd="t" o:hrnoshade="t" o:hr="t" fillcolor="#333" stroked="f"/>
        </w:pict>
      </w:r>
    </w:p>
    <w:p w:rsidR="0017144E" w:rsidRPr="0017144E" w:rsidRDefault="0017144E" w:rsidP="0017144E">
      <w:r w:rsidRPr="0017144E">
        <w:t> </w:t>
      </w:r>
      <w:r w:rsidRPr="0017144E">
        <w:br/>
        <w:t>En allemand, l’accusatif est utilisé pour marquer le complément d’objet direct, autrement dit : le COD. Le seul problème est :</w:t>
      </w:r>
      <w:r w:rsidRPr="0017144E">
        <w:br/>
        <w:t> </w:t>
      </w:r>
      <w:r w:rsidRPr="0017144E">
        <w:br/>
      </w:r>
      <w:r w:rsidRPr="0017144E">
        <w:rPr>
          <w:b/>
          <w:bCs/>
        </w:rPr>
        <w:t>     « Comment trouver le COD d’une phrase ? »</w:t>
      </w:r>
    </w:p>
    <w:p w:rsidR="0017144E" w:rsidRPr="0017144E" w:rsidRDefault="0017144E" w:rsidP="0017144E">
      <w:r w:rsidRPr="0017144E">
        <w:t>Eh bien c’est comme pour le français : il faut se poser la question :</w:t>
      </w:r>
      <w:r w:rsidRPr="0017144E">
        <w:br/>
        <w:t> </w:t>
      </w:r>
      <w:r w:rsidRPr="0017144E">
        <w:br/>
      </w:r>
      <w:r w:rsidRPr="0017144E">
        <w:rPr>
          <w:b/>
          <w:bCs/>
        </w:rPr>
        <w:t>     « Quoi/Qui ? »</w:t>
      </w:r>
      <w:r w:rsidRPr="0017144E">
        <w:t> </w:t>
      </w:r>
    </w:p>
    <w:p w:rsidR="0017144E" w:rsidRPr="0017144E" w:rsidRDefault="0017144E" w:rsidP="0017144E">
      <w:r w:rsidRPr="0017144E">
        <w:t>Pas de panique ! Voici un exemple de repérage d’un COD  pour une phrase dans notre langue :</w:t>
      </w:r>
      <w:r w:rsidRPr="0017144E">
        <w:br/>
        <w:t> </w:t>
      </w:r>
      <w:r w:rsidRPr="0017144E">
        <w:br/>
      </w:r>
      <w:r w:rsidRPr="0017144E">
        <w:rPr>
          <w:i/>
          <w:iCs/>
        </w:rPr>
        <w:t>     "Je mange une pomme"</w:t>
      </w:r>
    </w:p>
    <w:p w:rsidR="0017144E" w:rsidRPr="0017144E" w:rsidRDefault="0017144E" w:rsidP="0017144E">
      <w:r w:rsidRPr="0017144E">
        <w:t>La question qu’on doit se poser est : « Je mange </w:t>
      </w:r>
      <w:r w:rsidRPr="0017144E">
        <w:rPr>
          <w:b/>
          <w:bCs/>
        </w:rPr>
        <w:t>quoi/qui</w:t>
      </w:r>
      <w:r w:rsidRPr="0017144E">
        <w:t> ? »</w:t>
      </w:r>
      <w:r w:rsidRPr="0017144E">
        <w:br/>
        <w:t>Réponse:     </w:t>
      </w:r>
      <w:r w:rsidRPr="0017144E">
        <w:rPr>
          <w:i/>
          <w:iCs/>
        </w:rPr>
        <w:t>"Une pomme"</w:t>
      </w:r>
    </w:p>
    <w:p w:rsidR="0017144E" w:rsidRPr="0017144E" w:rsidRDefault="0017144E" w:rsidP="0017144E">
      <w:r w:rsidRPr="0017144E">
        <w:t>Donc, le COD ou la suite du verbe de cette phrase est :     </w:t>
      </w:r>
      <w:r w:rsidRPr="0017144E">
        <w:rPr>
          <w:i/>
          <w:iCs/>
        </w:rPr>
        <w:t>"une pomme"</w:t>
      </w:r>
    </w:p>
    <w:p w:rsidR="0017144E" w:rsidRPr="0017144E" w:rsidRDefault="0017144E" w:rsidP="0017144E">
      <w:r w:rsidRPr="0017144E">
        <w:t>Reprenons cet exemple mais en allemand :</w:t>
      </w:r>
    </w:p>
    <w:p w:rsidR="0017144E" w:rsidRPr="0017144E" w:rsidRDefault="0017144E" w:rsidP="0017144E">
      <w:r w:rsidRPr="0017144E">
        <w:t>"</w:t>
      </w:r>
      <w:r w:rsidRPr="0017144E">
        <w:rPr>
          <w:i/>
          <w:iCs/>
        </w:rPr>
        <w:t>La pomme</w:t>
      </w:r>
      <w:r w:rsidRPr="0017144E">
        <w:t>" correspond à </w:t>
      </w:r>
      <w:r w:rsidRPr="0017144E">
        <w:rPr>
          <w:i/>
          <w:iCs/>
        </w:rPr>
        <w:t>« der Apfel »</w:t>
      </w:r>
      <w:r w:rsidRPr="0017144E">
        <w:t xml:space="preserve">. Ce n’est pas par hasard qu’un nom masculin singulier a été pris. C'est en fait pour que vous puissiez voir une </w:t>
      </w:r>
      <w:proofErr w:type="spellStart"/>
      <w:r w:rsidRPr="0017144E">
        <w:t>différentce</w:t>
      </w:r>
      <w:proofErr w:type="spellEnd"/>
      <w:r w:rsidRPr="0017144E">
        <w:t xml:space="preserve"> car l’accusatif ne varie que très peu du nominatif. En effet, seul le masculin change légèrement.</w:t>
      </w:r>
    </w:p>
    <w:tbl>
      <w:tblPr>
        <w:tblW w:w="8100" w:type="dxa"/>
        <w:tblCellSpacing w:w="0" w:type="dxa"/>
        <w:shd w:val="clear" w:color="auto" w:fill="FFFFFF"/>
        <w:tblCellMar>
          <w:left w:w="0" w:type="dxa"/>
          <w:right w:w="0" w:type="dxa"/>
        </w:tblCellMar>
        <w:tblLook w:val="04A0"/>
      </w:tblPr>
      <w:tblGrid>
        <w:gridCol w:w="8100"/>
      </w:tblGrid>
      <w:tr w:rsidR="0017144E" w:rsidRPr="0017144E" w:rsidTr="0017144E">
        <w:trPr>
          <w:tblCellSpacing w:w="0" w:type="dxa"/>
        </w:trPr>
        <w:tc>
          <w:tcPr>
            <w:tcW w:w="0" w:type="auto"/>
            <w:shd w:val="clear" w:color="auto" w:fill="FFFFFF"/>
            <w:vAlign w:val="center"/>
            <w:hideMark/>
          </w:tcPr>
          <w:p w:rsidR="0017144E" w:rsidRPr="0017144E" w:rsidRDefault="0017144E" w:rsidP="0017144E">
            <w:r w:rsidRPr="0017144E">
              <w:t>Les déterminants suivent généralement ces deux modèles:</w:t>
            </w:r>
          </w:p>
          <w:tbl>
            <w:tblPr>
              <w:tblpPr w:leftFromText="45" w:rightFromText="45" w:vertAnchor="text" w:tblpXSpec="right" w:tblpYSpec="cente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05"/>
              <w:gridCol w:w="1749"/>
              <w:gridCol w:w="1576"/>
              <w:gridCol w:w="1392"/>
              <w:gridCol w:w="1278"/>
            </w:tblGrid>
            <w:tr w:rsidR="0017144E" w:rsidRPr="001714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r w:rsidRPr="0017144E">
                    <w:t>Masculin</w:t>
                  </w:r>
                </w:p>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r w:rsidRPr="0017144E">
                    <w:t>Féminin</w:t>
                  </w:r>
                </w:p>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r w:rsidRPr="0017144E">
                    <w:t>Neutre</w:t>
                  </w:r>
                </w:p>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r w:rsidRPr="0017144E">
                    <w:t>Pluriel</w:t>
                  </w:r>
                </w:p>
              </w:tc>
            </w:tr>
            <w:tr w:rsidR="0017144E" w:rsidRPr="001714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r w:rsidRPr="0017144E">
                    <w:t>Défini</w:t>
                  </w:r>
                </w:p>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r w:rsidRPr="0017144E">
                    <w:t>d</w:t>
                  </w:r>
                  <w:r w:rsidRPr="0017144E">
                    <w:rPr>
                      <w:b/>
                      <w:bCs/>
                    </w:rPr>
                    <w:t>en</w:t>
                  </w:r>
                </w:p>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r w:rsidRPr="0017144E">
                    <w:t>die</w:t>
                  </w:r>
                </w:p>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proofErr w:type="spellStart"/>
                  <w:r w:rsidRPr="0017144E">
                    <w:t>das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r w:rsidRPr="0017144E">
                    <w:t>die</w:t>
                  </w:r>
                </w:p>
              </w:tc>
            </w:tr>
            <w:tr w:rsidR="0017144E" w:rsidRPr="0017144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r w:rsidRPr="0017144E">
                    <w:t>Indéfini</w:t>
                  </w:r>
                </w:p>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proofErr w:type="spellStart"/>
                  <w:r w:rsidRPr="0017144E">
                    <w:t>ein</w:t>
                  </w:r>
                  <w:r w:rsidRPr="0017144E">
                    <w:rPr>
                      <w:b/>
                      <w:bCs/>
                    </w:rPr>
                    <w:t>en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proofErr w:type="spellStart"/>
                  <w:r w:rsidRPr="0017144E">
                    <w:t>eine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proofErr w:type="spellStart"/>
                  <w:r w:rsidRPr="0017144E">
                    <w:t>ein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7144E" w:rsidRPr="0017144E" w:rsidRDefault="0017144E" w:rsidP="0017144E">
                  <w:proofErr w:type="spellStart"/>
                  <w:r w:rsidRPr="0017144E">
                    <w:t>keine</w:t>
                  </w:r>
                  <w:proofErr w:type="spellEnd"/>
                </w:p>
              </w:tc>
            </w:tr>
          </w:tbl>
          <w:p w:rsidR="0017144E" w:rsidRPr="0017144E" w:rsidRDefault="0017144E" w:rsidP="0017144E"/>
        </w:tc>
      </w:tr>
    </w:tbl>
    <w:p w:rsidR="0017144E" w:rsidRPr="0017144E" w:rsidRDefault="0017144E" w:rsidP="0017144E">
      <w:r w:rsidRPr="0017144E">
        <w:t> </w:t>
      </w:r>
    </w:p>
    <w:p w:rsidR="0017144E" w:rsidRPr="0017144E" w:rsidRDefault="0017144E" w:rsidP="0017144E">
      <w:r w:rsidRPr="0017144E">
        <w:t>Revenons-en donc à notre phrase: Je mange une pomme.</w:t>
      </w:r>
      <w:r w:rsidRPr="0017144E">
        <w:br/>
        <w:t xml:space="preserve">En allemand, cela </w:t>
      </w:r>
      <w:proofErr w:type="gramStart"/>
      <w:r w:rsidRPr="0017144E">
        <w:t>donne  :</w:t>
      </w:r>
      <w:proofErr w:type="gramEnd"/>
      <w:r w:rsidRPr="0017144E">
        <w:t> </w:t>
      </w:r>
      <w:r w:rsidRPr="0017144E">
        <w:rPr>
          <w:i/>
          <w:iCs/>
        </w:rPr>
        <w:t>«</w:t>
      </w:r>
      <w:r w:rsidRPr="0017144E">
        <w:t> </w:t>
      </w:r>
      <w:proofErr w:type="spellStart"/>
      <w:r w:rsidRPr="0017144E">
        <w:rPr>
          <w:i/>
          <w:iCs/>
        </w:rPr>
        <w:t>Ich</w:t>
      </w:r>
      <w:proofErr w:type="spellEnd"/>
      <w:r w:rsidRPr="0017144E">
        <w:rPr>
          <w:i/>
          <w:iCs/>
        </w:rPr>
        <w:t xml:space="preserve"> esse </w:t>
      </w:r>
      <w:proofErr w:type="spellStart"/>
      <w:r w:rsidRPr="0017144E">
        <w:rPr>
          <w:i/>
          <w:iCs/>
        </w:rPr>
        <w:t>ein</w:t>
      </w:r>
      <w:r w:rsidRPr="0017144E">
        <w:rPr>
          <w:b/>
          <w:bCs/>
          <w:i/>
          <w:iCs/>
        </w:rPr>
        <w:t>en</w:t>
      </w:r>
      <w:proofErr w:type="spellEnd"/>
      <w:r w:rsidRPr="0017144E">
        <w:rPr>
          <w:i/>
          <w:iCs/>
        </w:rPr>
        <w:t> Apfel »</w:t>
      </w:r>
      <w:r w:rsidRPr="0017144E">
        <w:br/>
        <w:t> </w:t>
      </w:r>
      <w:r w:rsidRPr="0017144E">
        <w:br/>
        <w:t>Il est clair que pour les genres autre que le masculin, cet accord reste "invisible" en comparaison avec le nominatif. Par contre, on remarquera un changement au niveau de l’accord des adjectifs. C’est pour cela qu’il est important de toujours savoir à quel cas on a à faire !</w:t>
      </w:r>
    </w:p>
    <w:p w:rsidR="0017144E" w:rsidRPr="0017144E" w:rsidRDefault="0017144E" w:rsidP="0017144E">
      <w:r w:rsidRPr="0017144E">
        <w:t> </w:t>
      </w:r>
    </w:p>
    <w:p w:rsidR="0017144E" w:rsidRDefault="0017144E" w:rsidP="0017144E"/>
    <w:p w:rsidR="0017144E" w:rsidRPr="0017144E" w:rsidRDefault="0017144E" w:rsidP="0017144E">
      <w:r w:rsidRPr="0017144E">
        <w:lastRenderedPageBreak/>
        <w:t>Refaisons la même démarche avec une phrase un peu plus difficile :</w:t>
      </w:r>
    </w:p>
    <w:p w:rsidR="0017144E" w:rsidRPr="0017144E" w:rsidRDefault="0017144E" w:rsidP="0017144E">
      <w:r w:rsidRPr="0017144E">
        <w:rPr>
          <w:i/>
          <w:iCs/>
        </w:rPr>
        <w:t>" Il y a trois jours, ma meilleure amie a acheté un chien "</w:t>
      </w:r>
    </w:p>
    <w:p w:rsidR="0017144E" w:rsidRPr="0017144E" w:rsidRDefault="0017144E" w:rsidP="0017144E">
      <w:r w:rsidRPr="0017144E">
        <w:t>Question : </w:t>
      </w:r>
      <w:r w:rsidRPr="0017144E">
        <w:rPr>
          <w:i/>
          <w:iCs/>
        </w:rPr>
        <w:t>"  Il y a trois jours, ma meilleure amie a acheté </w:t>
      </w:r>
      <w:r w:rsidRPr="0017144E">
        <w:rPr>
          <w:b/>
          <w:bCs/>
          <w:i/>
          <w:iCs/>
        </w:rPr>
        <w:t>quoi</w:t>
      </w:r>
      <w:r w:rsidRPr="0017144E">
        <w:rPr>
          <w:i/>
          <w:iCs/>
        </w:rPr>
        <w:t> ? "</w:t>
      </w:r>
      <w:r w:rsidRPr="0017144E">
        <w:br/>
        <w:t>Réponse </w:t>
      </w:r>
      <w:proofErr w:type="gramStart"/>
      <w:r w:rsidRPr="0017144E">
        <w:t>:  </w:t>
      </w:r>
      <w:r w:rsidRPr="0017144E">
        <w:rPr>
          <w:i/>
          <w:iCs/>
        </w:rPr>
        <w:t>"</w:t>
      </w:r>
      <w:proofErr w:type="gramEnd"/>
      <w:r w:rsidRPr="0017144E">
        <w:rPr>
          <w:i/>
          <w:iCs/>
        </w:rPr>
        <w:t> </w:t>
      </w:r>
      <w:r w:rsidRPr="0017144E">
        <w:rPr>
          <w:b/>
          <w:bCs/>
          <w:i/>
          <w:iCs/>
        </w:rPr>
        <w:t>Un chien</w:t>
      </w:r>
      <w:r w:rsidRPr="0017144E">
        <w:rPr>
          <w:i/>
          <w:iCs/>
        </w:rPr>
        <w:t> "</w:t>
      </w:r>
    </w:p>
    <w:p w:rsidR="0017144E" w:rsidRPr="0017144E" w:rsidRDefault="0017144E" w:rsidP="0017144E">
      <w:r w:rsidRPr="0017144E">
        <w:t>Cela donne donc:</w:t>
      </w:r>
      <w:r w:rsidRPr="0017144E">
        <w:br/>
        <w:t>      </w:t>
      </w:r>
      <w:r w:rsidRPr="0017144E">
        <w:rPr>
          <w:i/>
          <w:iCs/>
        </w:rPr>
        <w:t xml:space="preserve">« Vor </w:t>
      </w:r>
      <w:proofErr w:type="spellStart"/>
      <w:r w:rsidRPr="0017144E">
        <w:rPr>
          <w:i/>
          <w:iCs/>
        </w:rPr>
        <w:t>drei</w:t>
      </w:r>
      <w:proofErr w:type="spellEnd"/>
      <w:r w:rsidRPr="0017144E">
        <w:rPr>
          <w:i/>
          <w:iCs/>
        </w:rPr>
        <w:t xml:space="preserve"> </w:t>
      </w:r>
      <w:proofErr w:type="spellStart"/>
      <w:r w:rsidRPr="0017144E">
        <w:rPr>
          <w:i/>
          <w:iCs/>
        </w:rPr>
        <w:t>Tagen</w:t>
      </w:r>
      <w:proofErr w:type="spellEnd"/>
      <w:r w:rsidRPr="0017144E">
        <w:rPr>
          <w:i/>
          <w:iCs/>
        </w:rPr>
        <w:t xml:space="preserve"> </w:t>
      </w:r>
      <w:proofErr w:type="spellStart"/>
      <w:r w:rsidRPr="0017144E">
        <w:rPr>
          <w:i/>
          <w:iCs/>
        </w:rPr>
        <w:t>hat</w:t>
      </w:r>
      <w:proofErr w:type="spellEnd"/>
      <w:r w:rsidRPr="0017144E">
        <w:rPr>
          <w:i/>
          <w:iCs/>
        </w:rPr>
        <w:t xml:space="preserve"> </w:t>
      </w:r>
      <w:proofErr w:type="spellStart"/>
      <w:r w:rsidRPr="0017144E">
        <w:rPr>
          <w:i/>
          <w:iCs/>
        </w:rPr>
        <w:t>meine</w:t>
      </w:r>
      <w:proofErr w:type="spellEnd"/>
      <w:r w:rsidRPr="0017144E">
        <w:rPr>
          <w:i/>
          <w:iCs/>
        </w:rPr>
        <w:t xml:space="preserve"> </w:t>
      </w:r>
      <w:proofErr w:type="spellStart"/>
      <w:r w:rsidRPr="0017144E">
        <w:rPr>
          <w:i/>
          <w:iCs/>
        </w:rPr>
        <w:t>beste</w:t>
      </w:r>
      <w:proofErr w:type="spellEnd"/>
      <w:r w:rsidRPr="0017144E">
        <w:rPr>
          <w:i/>
          <w:iCs/>
        </w:rPr>
        <w:t xml:space="preserve"> </w:t>
      </w:r>
      <w:proofErr w:type="spellStart"/>
      <w:r w:rsidRPr="0017144E">
        <w:rPr>
          <w:i/>
          <w:iCs/>
        </w:rPr>
        <w:t>Freundin</w:t>
      </w:r>
      <w:proofErr w:type="spellEnd"/>
      <w:r w:rsidRPr="0017144E">
        <w:rPr>
          <w:i/>
          <w:iCs/>
        </w:rPr>
        <w:t xml:space="preserve"> </w:t>
      </w:r>
      <w:proofErr w:type="spellStart"/>
      <w:r w:rsidRPr="0017144E">
        <w:rPr>
          <w:i/>
          <w:iCs/>
        </w:rPr>
        <w:t>ein</w:t>
      </w:r>
      <w:r w:rsidRPr="0017144E">
        <w:rPr>
          <w:b/>
          <w:bCs/>
          <w:i/>
          <w:iCs/>
        </w:rPr>
        <w:t>en</w:t>
      </w:r>
      <w:proofErr w:type="spellEnd"/>
      <w:r w:rsidRPr="0017144E">
        <w:rPr>
          <w:i/>
          <w:iCs/>
        </w:rPr>
        <w:t> </w:t>
      </w:r>
      <w:proofErr w:type="spellStart"/>
      <w:r w:rsidRPr="0017144E">
        <w:rPr>
          <w:i/>
          <w:iCs/>
        </w:rPr>
        <w:t>Hund</w:t>
      </w:r>
      <w:proofErr w:type="spellEnd"/>
      <w:r w:rsidRPr="0017144E">
        <w:rPr>
          <w:i/>
          <w:iCs/>
        </w:rPr>
        <w:t xml:space="preserve"> </w:t>
      </w:r>
      <w:proofErr w:type="spellStart"/>
      <w:r w:rsidRPr="0017144E">
        <w:rPr>
          <w:i/>
          <w:iCs/>
        </w:rPr>
        <w:t>gekauft</w:t>
      </w:r>
      <w:proofErr w:type="spellEnd"/>
      <w:r w:rsidRPr="0017144E">
        <w:rPr>
          <w:i/>
          <w:iCs/>
        </w:rPr>
        <w:t xml:space="preserve"> »</w:t>
      </w:r>
    </w:p>
    <w:p w:rsidR="0017144E" w:rsidRPr="0017144E" w:rsidRDefault="0017144E" w:rsidP="0017144E">
      <w:r w:rsidRPr="0017144E">
        <w:t>Dans le complément d'objet direct, on trouve souvent qu'un déterminant et un nom. Il peut y avoir des adjectifs par exemple! Ceux-ci s'accordent donc en genre et en nombre, mais tout comme le reste : à l'accusatif (voir déclinaison de l'adjectif).</w:t>
      </w:r>
    </w:p>
    <w:p w:rsidR="0017144E" w:rsidRPr="0017144E" w:rsidRDefault="0017144E" w:rsidP="0017144E">
      <w:r w:rsidRPr="0017144E">
        <w:t> </w:t>
      </w:r>
    </w:p>
    <w:p w:rsidR="0017144E" w:rsidRPr="0017144E" w:rsidRDefault="0017144E" w:rsidP="0017144E">
      <w:r w:rsidRPr="0017144E">
        <w:t>En résumé:</w:t>
      </w:r>
    </w:p>
    <w:tbl>
      <w:tblPr>
        <w:tblW w:w="6300" w:type="dxa"/>
        <w:jc w:val="center"/>
        <w:tblCellSpacing w:w="15" w:type="dxa"/>
        <w:tblBorders>
          <w:top w:val="outset" w:sz="24" w:space="0" w:color="auto"/>
          <w:left w:val="outset" w:sz="24" w:space="0" w:color="auto"/>
          <w:bottom w:val="outset" w:sz="24" w:space="0" w:color="auto"/>
          <w:right w:val="outset" w:sz="24" w:space="0" w:color="auto"/>
        </w:tblBorders>
        <w:shd w:val="clear" w:color="auto" w:fill="FFFFFF"/>
        <w:tblCellMar>
          <w:top w:w="15" w:type="dxa"/>
          <w:left w:w="15" w:type="dxa"/>
          <w:bottom w:w="15" w:type="dxa"/>
          <w:right w:w="15" w:type="dxa"/>
        </w:tblCellMar>
        <w:tblLook w:val="04A0"/>
      </w:tblPr>
      <w:tblGrid>
        <w:gridCol w:w="6300"/>
      </w:tblGrid>
      <w:tr w:rsidR="0017144E" w:rsidRPr="0017144E" w:rsidTr="0017144E">
        <w:trPr>
          <w:trHeight w:val="120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7144E" w:rsidRPr="0017144E" w:rsidRDefault="0017144E" w:rsidP="0017144E">
            <w:r w:rsidRPr="0017144E">
              <w:t>-Le COD répond toujours à la question : „</w:t>
            </w:r>
            <w:r w:rsidRPr="0017144E">
              <w:rPr>
                <w:b/>
                <w:bCs/>
              </w:rPr>
              <w:t>Quoi/Qui </w:t>
            </w:r>
            <w:r w:rsidRPr="0017144E">
              <w:t>?“</w:t>
            </w:r>
          </w:p>
          <w:p w:rsidR="00000000" w:rsidRPr="0017144E" w:rsidRDefault="0017144E" w:rsidP="0017144E">
            <w:r w:rsidRPr="0017144E">
              <w:t>-Le COD porte la marque de l’</w:t>
            </w:r>
            <w:r w:rsidRPr="0017144E">
              <w:rPr>
                <w:b/>
                <w:bCs/>
              </w:rPr>
              <w:t>accusatif</w:t>
            </w:r>
            <w:r w:rsidRPr="0017144E">
              <w:t>.</w:t>
            </w:r>
          </w:p>
        </w:tc>
      </w:tr>
    </w:tbl>
    <w:p w:rsidR="007E642B" w:rsidRDefault="007E642B"/>
    <w:sectPr w:rsidR="007E642B" w:rsidSect="007E64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17144E"/>
    <w:rsid w:val="0017144E"/>
    <w:rsid w:val="00726EBF"/>
    <w:rsid w:val="007E642B"/>
    <w:rsid w:val="00CE20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42B"/>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697537">
      <w:bodyDiv w:val="1"/>
      <w:marLeft w:val="0"/>
      <w:marRight w:val="0"/>
      <w:marTop w:val="0"/>
      <w:marBottom w:val="0"/>
      <w:divBdr>
        <w:top w:val="none" w:sz="0" w:space="0" w:color="auto"/>
        <w:left w:val="none" w:sz="0" w:space="0" w:color="auto"/>
        <w:bottom w:val="none" w:sz="0" w:space="0" w:color="auto"/>
        <w:right w:val="none" w:sz="0" w:space="0" w:color="auto"/>
      </w:divBdr>
      <w:divsChild>
        <w:div w:id="302663094">
          <w:marLeft w:val="0"/>
          <w:marRight w:val="0"/>
          <w:marTop w:val="0"/>
          <w:marBottom w:val="0"/>
          <w:divBdr>
            <w:top w:val="none" w:sz="0" w:space="0" w:color="auto"/>
            <w:left w:val="none" w:sz="0" w:space="0" w:color="auto"/>
            <w:bottom w:val="none" w:sz="0" w:space="0" w:color="auto"/>
            <w:right w:val="none" w:sz="0" w:space="0" w:color="auto"/>
          </w:divBdr>
        </w:div>
        <w:div w:id="2049988238">
          <w:marLeft w:val="0"/>
          <w:marRight w:val="0"/>
          <w:marTop w:val="0"/>
          <w:marBottom w:val="0"/>
          <w:divBdr>
            <w:top w:val="none" w:sz="0" w:space="0" w:color="auto"/>
            <w:left w:val="none" w:sz="0" w:space="0" w:color="auto"/>
            <w:bottom w:val="none" w:sz="0" w:space="0" w:color="auto"/>
            <w:right w:val="none" w:sz="0" w:space="0" w:color="auto"/>
          </w:divBdr>
        </w:div>
        <w:div w:id="384724297">
          <w:marLeft w:val="0"/>
          <w:marRight w:val="0"/>
          <w:marTop w:val="0"/>
          <w:marBottom w:val="0"/>
          <w:divBdr>
            <w:top w:val="none" w:sz="0" w:space="0" w:color="auto"/>
            <w:left w:val="none" w:sz="0" w:space="0" w:color="auto"/>
            <w:bottom w:val="none" w:sz="0" w:space="0" w:color="auto"/>
            <w:right w:val="none" w:sz="0" w:space="0" w:color="auto"/>
          </w:divBdr>
        </w:div>
        <w:div w:id="987904205">
          <w:marLeft w:val="0"/>
          <w:marRight w:val="0"/>
          <w:marTop w:val="0"/>
          <w:marBottom w:val="0"/>
          <w:divBdr>
            <w:top w:val="none" w:sz="0" w:space="0" w:color="auto"/>
            <w:left w:val="none" w:sz="0" w:space="0" w:color="auto"/>
            <w:bottom w:val="none" w:sz="0" w:space="0" w:color="auto"/>
            <w:right w:val="none" w:sz="0" w:space="0" w:color="auto"/>
          </w:divBdr>
        </w:div>
        <w:div w:id="842210468">
          <w:marLeft w:val="0"/>
          <w:marRight w:val="0"/>
          <w:marTop w:val="0"/>
          <w:marBottom w:val="0"/>
          <w:divBdr>
            <w:top w:val="none" w:sz="0" w:space="0" w:color="auto"/>
            <w:left w:val="none" w:sz="0" w:space="0" w:color="auto"/>
            <w:bottom w:val="none" w:sz="0" w:space="0" w:color="auto"/>
            <w:right w:val="none" w:sz="0" w:space="0" w:color="auto"/>
          </w:divBdr>
        </w:div>
        <w:div w:id="1658528923">
          <w:marLeft w:val="0"/>
          <w:marRight w:val="0"/>
          <w:marTop w:val="0"/>
          <w:marBottom w:val="0"/>
          <w:divBdr>
            <w:top w:val="none" w:sz="0" w:space="0" w:color="auto"/>
            <w:left w:val="none" w:sz="0" w:space="0" w:color="auto"/>
            <w:bottom w:val="none" w:sz="0" w:space="0" w:color="auto"/>
            <w:right w:val="none" w:sz="0" w:space="0" w:color="auto"/>
          </w:divBdr>
        </w:div>
        <w:div w:id="1569464608">
          <w:marLeft w:val="0"/>
          <w:marRight w:val="0"/>
          <w:marTop w:val="0"/>
          <w:marBottom w:val="0"/>
          <w:divBdr>
            <w:top w:val="none" w:sz="0" w:space="0" w:color="auto"/>
            <w:left w:val="none" w:sz="0" w:space="0" w:color="auto"/>
            <w:bottom w:val="none" w:sz="0" w:space="0" w:color="auto"/>
            <w:right w:val="none" w:sz="0" w:space="0" w:color="auto"/>
          </w:divBdr>
        </w:div>
        <w:div w:id="1780756770">
          <w:marLeft w:val="0"/>
          <w:marRight w:val="0"/>
          <w:marTop w:val="0"/>
          <w:marBottom w:val="0"/>
          <w:divBdr>
            <w:top w:val="none" w:sz="0" w:space="0" w:color="auto"/>
            <w:left w:val="none" w:sz="0" w:space="0" w:color="auto"/>
            <w:bottom w:val="none" w:sz="0" w:space="0" w:color="auto"/>
            <w:right w:val="none" w:sz="0" w:space="0" w:color="auto"/>
          </w:divBdr>
        </w:div>
        <w:div w:id="2058233195">
          <w:marLeft w:val="0"/>
          <w:marRight w:val="0"/>
          <w:marTop w:val="0"/>
          <w:marBottom w:val="0"/>
          <w:divBdr>
            <w:top w:val="none" w:sz="0" w:space="0" w:color="auto"/>
            <w:left w:val="none" w:sz="0" w:space="0" w:color="auto"/>
            <w:bottom w:val="none" w:sz="0" w:space="0" w:color="auto"/>
            <w:right w:val="none" w:sz="0" w:space="0" w:color="auto"/>
          </w:divBdr>
        </w:div>
        <w:div w:id="447118888">
          <w:marLeft w:val="0"/>
          <w:marRight w:val="0"/>
          <w:marTop w:val="0"/>
          <w:marBottom w:val="0"/>
          <w:divBdr>
            <w:top w:val="none" w:sz="0" w:space="0" w:color="auto"/>
            <w:left w:val="none" w:sz="0" w:space="0" w:color="auto"/>
            <w:bottom w:val="none" w:sz="0" w:space="0" w:color="auto"/>
            <w:right w:val="none" w:sz="0" w:space="0" w:color="auto"/>
          </w:divBdr>
        </w:div>
        <w:div w:id="2116944728">
          <w:marLeft w:val="0"/>
          <w:marRight w:val="0"/>
          <w:marTop w:val="0"/>
          <w:marBottom w:val="0"/>
          <w:divBdr>
            <w:top w:val="none" w:sz="0" w:space="0" w:color="auto"/>
            <w:left w:val="none" w:sz="0" w:space="0" w:color="auto"/>
            <w:bottom w:val="none" w:sz="0" w:space="0" w:color="auto"/>
            <w:right w:val="none" w:sz="0" w:space="0" w:color="auto"/>
          </w:divBdr>
        </w:div>
        <w:div w:id="1078944803">
          <w:marLeft w:val="0"/>
          <w:marRight w:val="0"/>
          <w:marTop w:val="0"/>
          <w:marBottom w:val="0"/>
          <w:divBdr>
            <w:top w:val="none" w:sz="0" w:space="0" w:color="auto"/>
            <w:left w:val="none" w:sz="0" w:space="0" w:color="auto"/>
            <w:bottom w:val="none" w:sz="0" w:space="0" w:color="auto"/>
            <w:right w:val="none" w:sz="0" w:space="0" w:color="auto"/>
          </w:divBdr>
        </w:div>
        <w:div w:id="1208882030">
          <w:marLeft w:val="0"/>
          <w:marRight w:val="0"/>
          <w:marTop w:val="0"/>
          <w:marBottom w:val="0"/>
          <w:divBdr>
            <w:top w:val="none" w:sz="0" w:space="0" w:color="auto"/>
            <w:left w:val="none" w:sz="0" w:space="0" w:color="auto"/>
            <w:bottom w:val="none" w:sz="0" w:space="0" w:color="auto"/>
            <w:right w:val="none" w:sz="0" w:space="0" w:color="auto"/>
          </w:divBdr>
        </w:div>
        <w:div w:id="2066876298">
          <w:marLeft w:val="0"/>
          <w:marRight w:val="0"/>
          <w:marTop w:val="0"/>
          <w:marBottom w:val="0"/>
          <w:divBdr>
            <w:top w:val="none" w:sz="0" w:space="0" w:color="auto"/>
            <w:left w:val="none" w:sz="0" w:space="0" w:color="auto"/>
            <w:bottom w:val="none" w:sz="0" w:space="0" w:color="auto"/>
            <w:right w:val="none" w:sz="0" w:space="0" w:color="auto"/>
          </w:divBdr>
        </w:div>
        <w:div w:id="122344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953756">
      <w:bodyDiv w:val="1"/>
      <w:marLeft w:val="0"/>
      <w:marRight w:val="0"/>
      <w:marTop w:val="0"/>
      <w:marBottom w:val="0"/>
      <w:divBdr>
        <w:top w:val="none" w:sz="0" w:space="0" w:color="auto"/>
        <w:left w:val="none" w:sz="0" w:space="0" w:color="auto"/>
        <w:bottom w:val="none" w:sz="0" w:space="0" w:color="auto"/>
        <w:right w:val="none" w:sz="0" w:space="0" w:color="auto"/>
      </w:divBdr>
      <w:divsChild>
        <w:div w:id="1359433261">
          <w:marLeft w:val="0"/>
          <w:marRight w:val="0"/>
          <w:marTop w:val="0"/>
          <w:marBottom w:val="0"/>
          <w:divBdr>
            <w:top w:val="none" w:sz="0" w:space="0" w:color="auto"/>
            <w:left w:val="none" w:sz="0" w:space="0" w:color="auto"/>
            <w:bottom w:val="none" w:sz="0" w:space="0" w:color="auto"/>
            <w:right w:val="none" w:sz="0" w:space="0" w:color="auto"/>
          </w:divBdr>
        </w:div>
        <w:div w:id="599801286">
          <w:marLeft w:val="0"/>
          <w:marRight w:val="0"/>
          <w:marTop w:val="0"/>
          <w:marBottom w:val="0"/>
          <w:divBdr>
            <w:top w:val="none" w:sz="0" w:space="0" w:color="auto"/>
            <w:left w:val="none" w:sz="0" w:space="0" w:color="auto"/>
            <w:bottom w:val="none" w:sz="0" w:space="0" w:color="auto"/>
            <w:right w:val="none" w:sz="0" w:space="0" w:color="auto"/>
          </w:divBdr>
        </w:div>
        <w:div w:id="2005740517">
          <w:marLeft w:val="0"/>
          <w:marRight w:val="0"/>
          <w:marTop w:val="0"/>
          <w:marBottom w:val="0"/>
          <w:divBdr>
            <w:top w:val="none" w:sz="0" w:space="0" w:color="auto"/>
            <w:left w:val="none" w:sz="0" w:space="0" w:color="auto"/>
            <w:bottom w:val="none" w:sz="0" w:space="0" w:color="auto"/>
            <w:right w:val="none" w:sz="0" w:space="0" w:color="auto"/>
          </w:divBdr>
        </w:div>
        <w:div w:id="1944453411">
          <w:marLeft w:val="0"/>
          <w:marRight w:val="0"/>
          <w:marTop w:val="0"/>
          <w:marBottom w:val="0"/>
          <w:divBdr>
            <w:top w:val="none" w:sz="0" w:space="0" w:color="auto"/>
            <w:left w:val="none" w:sz="0" w:space="0" w:color="auto"/>
            <w:bottom w:val="none" w:sz="0" w:space="0" w:color="auto"/>
            <w:right w:val="none" w:sz="0" w:space="0" w:color="auto"/>
          </w:divBdr>
        </w:div>
        <w:div w:id="360472813">
          <w:marLeft w:val="0"/>
          <w:marRight w:val="0"/>
          <w:marTop w:val="0"/>
          <w:marBottom w:val="0"/>
          <w:divBdr>
            <w:top w:val="none" w:sz="0" w:space="0" w:color="auto"/>
            <w:left w:val="none" w:sz="0" w:space="0" w:color="auto"/>
            <w:bottom w:val="none" w:sz="0" w:space="0" w:color="auto"/>
            <w:right w:val="none" w:sz="0" w:space="0" w:color="auto"/>
          </w:divBdr>
        </w:div>
        <w:div w:id="2056463517">
          <w:marLeft w:val="0"/>
          <w:marRight w:val="0"/>
          <w:marTop w:val="0"/>
          <w:marBottom w:val="0"/>
          <w:divBdr>
            <w:top w:val="none" w:sz="0" w:space="0" w:color="auto"/>
            <w:left w:val="none" w:sz="0" w:space="0" w:color="auto"/>
            <w:bottom w:val="none" w:sz="0" w:space="0" w:color="auto"/>
            <w:right w:val="none" w:sz="0" w:space="0" w:color="auto"/>
          </w:divBdr>
        </w:div>
        <w:div w:id="1003434773">
          <w:marLeft w:val="0"/>
          <w:marRight w:val="0"/>
          <w:marTop w:val="0"/>
          <w:marBottom w:val="0"/>
          <w:divBdr>
            <w:top w:val="none" w:sz="0" w:space="0" w:color="auto"/>
            <w:left w:val="none" w:sz="0" w:space="0" w:color="auto"/>
            <w:bottom w:val="none" w:sz="0" w:space="0" w:color="auto"/>
            <w:right w:val="none" w:sz="0" w:space="0" w:color="auto"/>
          </w:divBdr>
        </w:div>
        <w:div w:id="1149520342">
          <w:marLeft w:val="0"/>
          <w:marRight w:val="0"/>
          <w:marTop w:val="0"/>
          <w:marBottom w:val="0"/>
          <w:divBdr>
            <w:top w:val="none" w:sz="0" w:space="0" w:color="auto"/>
            <w:left w:val="none" w:sz="0" w:space="0" w:color="auto"/>
            <w:bottom w:val="none" w:sz="0" w:space="0" w:color="auto"/>
            <w:right w:val="none" w:sz="0" w:space="0" w:color="auto"/>
          </w:divBdr>
        </w:div>
        <w:div w:id="598606303">
          <w:marLeft w:val="0"/>
          <w:marRight w:val="0"/>
          <w:marTop w:val="0"/>
          <w:marBottom w:val="0"/>
          <w:divBdr>
            <w:top w:val="none" w:sz="0" w:space="0" w:color="auto"/>
            <w:left w:val="none" w:sz="0" w:space="0" w:color="auto"/>
            <w:bottom w:val="none" w:sz="0" w:space="0" w:color="auto"/>
            <w:right w:val="none" w:sz="0" w:space="0" w:color="auto"/>
          </w:divBdr>
        </w:div>
        <w:div w:id="1241600129">
          <w:marLeft w:val="0"/>
          <w:marRight w:val="0"/>
          <w:marTop w:val="0"/>
          <w:marBottom w:val="0"/>
          <w:divBdr>
            <w:top w:val="none" w:sz="0" w:space="0" w:color="auto"/>
            <w:left w:val="none" w:sz="0" w:space="0" w:color="auto"/>
            <w:bottom w:val="none" w:sz="0" w:space="0" w:color="auto"/>
            <w:right w:val="none" w:sz="0" w:space="0" w:color="auto"/>
          </w:divBdr>
        </w:div>
        <w:div w:id="380908678">
          <w:marLeft w:val="0"/>
          <w:marRight w:val="0"/>
          <w:marTop w:val="0"/>
          <w:marBottom w:val="0"/>
          <w:divBdr>
            <w:top w:val="none" w:sz="0" w:space="0" w:color="auto"/>
            <w:left w:val="none" w:sz="0" w:space="0" w:color="auto"/>
            <w:bottom w:val="none" w:sz="0" w:space="0" w:color="auto"/>
            <w:right w:val="none" w:sz="0" w:space="0" w:color="auto"/>
          </w:divBdr>
        </w:div>
        <w:div w:id="168721427">
          <w:marLeft w:val="0"/>
          <w:marRight w:val="0"/>
          <w:marTop w:val="0"/>
          <w:marBottom w:val="0"/>
          <w:divBdr>
            <w:top w:val="none" w:sz="0" w:space="0" w:color="auto"/>
            <w:left w:val="none" w:sz="0" w:space="0" w:color="auto"/>
            <w:bottom w:val="none" w:sz="0" w:space="0" w:color="auto"/>
            <w:right w:val="none" w:sz="0" w:space="0" w:color="auto"/>
          </w:divBdr>
        </w:div>
        <w:div w:id="45183809">
          <w:marLeft w:val="0"/>
          <w:marRight w:val="0"/>
          <w:marTop w:val="0"/>
          <w:marBottom w:val="0"/>
          <w:divBdr>
            <w:top w:val="none" w:sz="0" w:space="0" w:color="auto"/>
            <w:left w:val="none" w:sz="0" w:space="0" w:color="auto"/>
            <w:bottom w:val="none" w:sz="0" w:space="0" w:color="auto"/>
            <w:right w:val="none" w:sz="0" w:space="0" w:color="auto"/>
          </w:divBdr>
        </w:div>
        <w:div w:id="685903339">
          <w:marLeft w:val="0"/>
          <w:marRight w:val="0"/>
          <w:marTop w:val="0"/>
          <w:marBottom w:val="0"/>
          <w:divBdr>
            <w:top w:val="none" w:sz="0" w:space="0" w:color="auto"/>
            <w:left w:val="none" w:sz="0" w:space="0" w:color="auto"/>
            <w:bottom w:val="none" w:sz="0" w:space="0" w:color="auto"/>
            <w:right w:val="none" w:sz="0" w:space="0" w:color="auto"/>
          </w:divBdr>
        </w:div>
        <w:div w:id="130296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1747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CARINE</cp:lastModifiedBy>
  <cp:revision>1</cp:revision>
  <cp:lastPrinted>2020-11-16T16:17:00Z</cp:lastPrinted>
  <dcterms:created xsi:type="dcterms:W3CDTF">2020-11-16T16:08:00Z</dcterms:created>
  <dcterms:modified xsi:type="dcterms:W3CDTF">2020-11-16T16:50:00Z</dcterms:modified>
</cp:coreProperties>
</file>